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12"/>
    <w:p>
      <w:pPr>
        <w:pStyle w:val="Heading1"/>
      </w:pPr>
      <w:r>
        <w:t xml:space="preserve">Homiletics Analysis: Exodus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12 records the institution of the Passover and the execution of the tenth and final plague — the death of the firstborn. The chapter moves in three movements: (1) God’s detailed instructions to Moses and Aaron for the Passover meal and the application of blood to the doorposts (vv. 1–13); (2) instructions for the Feast of Unleavened Bread and its perpetual observance across generations (vv. 14–20); (3) Moses relaying the instructions to the elders of Israel, the people’s obedient response, the midnight execution of judgment on Egypt, and the expulsion of Israel from Egypt (vv. 21–42); followed by (4) regulations governing who may participate in the Passover going forward (vv. 43–51). The chapter is simultaneously a narrative of the night itself and a liturgical charter for perpetual commemoration. God speaks before the event occurs, establishes a new calendar beginning point (</w:t>
      </w:r>
      <w:r>
        <w:t xml:space="preserve">“the first month of the year,”</w:t>
      </w:r>
      <w:r>
        <w:t xml:space="preserve"> </w:t>
      </w:r>
      <w:r>
        <w:t xml:space="preserve">v. 2), and frames the entire night as both redemptive event and covenant sign to be remembered.</w:t>
      </w:r>
    </w:p>
    <w:p>
      <w:pPr>
        <w:pStyle w:val="BodyText"/>
      </w:pPr>
      <w:r>
        <w:rPr>
          <w:b/>
          <w:bCs/>
        </w:rPr>
        <w:t xml:space="preserve">This Text — Intent</w:t>
      </w:r>
    </w:p>
    <w:p>
      <w:pPr>
        <w:pStyle w:val="BodyText"/>
      </w:pPr>
      <w:r>
        <w:t xml:space="preserve">God is doing two things at once in Exodus 12, and the exposition must hold both. First, He is accomplishing Israel’s redemption — not through Israel’s merit, military strength, or negotiating power, but through the blood of a substitutionary lamb applied in obedience to His specific instruction. Second, He is creating a memorial structure — a feast, a calendar, a set of regulations — designed to ensure that every subsequent generation understands that their existence as a people depends entirely on substitutionary death accepted by faith. The intent of the passage is to make the reader see that deliverance from judgment is never self-generated but always blood-purchased, and that God ordains ongoing, embodied, communal remembrance of that deliverance precisely because His people are prone to forget the source of their standing. The passage presses the reader to ask:</w:t>
      </w:r>
      <w:r>
        <w:t xml:space="preserve"> </w:t>
      </w:r>
      <w:r>
        <w:rPr>
          <w:i/>
          <w:iCs/>
        </w:rPr>
        <w:t xml:space="preserve">What is between me and judgment? Am I sheltering under the blood, or trusting in something else?</w:t>
      </w:r>
    </w:p>
    <w:p>
      <w:r>
        <w:pict>
          <v:rect style="width:0;height:1.5pt" o:hralign="center" o:hrstd="t" o:hr="t"/>
        </w:pict>
      </w:r>
    </w:p>
    <w:p>
      <w:pPr>
        <w:pStyle w:val="FirstParagraph"/>
      </w:pPr>
      <w:r>
        <w:rPr>
          <w:b/>
          <w:bCs/>
        </w:rPr>
        <w:t xml:space="preserve">Subject Sentence:</w:t>
      </w:r>
      <w:r>
        <w:t xml:space="preserve"> </w:t>
      </w:r>
      <w:r>
        <w:t xml:space="preserve">God redeems Israel from judgment through substitutionary blood — and commands perpetual remembrance of it.</w:t>
      </w:r>
    </w:p>
    <w:p>
      <w:r>
        <w:pict>
          <v:rect style="width:0;height:1.5pt" o:hralign="center" o:hrstd="t" o:hr="t"/>
        </w:pict>
      </w:r>
    </w:p>
    <w:p>
      <w:pPr>
        <w:pStyle w:val="FirstParagraph"/>
      </w:pPr>
      <w:r>
        <w:rPr>
          <w:b/>
          <w:bCs/>
        </w:rPr>
        <w:t xml:space="preserve">Primary Claim:</w:t>
      </w:r>
      <w:r>
        <w:t xml:space="preserve"> </w:t>
      </w:r>
      <w:r>
        <w:t xml:space="preserve">God is confronting His people with the irreducible reality that their only standing before divine judgment is the blood of a substitute — and He is calling them to structure their entire life, calendar, and community memory around that fact.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Passover sacrifice — substitution or solidarity?</w:t>
      </w:r>
    </w:p>
    <w:p>
      <w:pPr>
        <w:pStyle w:val="BodyText"/>
      </w:pPr>
      <w:r>
        <w:t xml:space="preserve">Some interpreters, particularly those in mainline Protestant and Roman Catholic traditions, have read the Passover primarily as a solidarity or communal identity ritual — the blood marking Israel</w:t>
      </w:r>
      <w:r>
        <w:t xml:space="preserve"> </w:t>
      </w:r>
      <w:r>
        <w:rPr>
          <w:i/>
          <w:iCs/>
        </w:rPr>
        <w:t xml:space="preserve">as a community</w:t>
      </w:r>
      <w:r>
        <w:t xml:space="preserve"> </w:t>
      </w:r>
      <w:r>
        <w:t xml:space="preserve">rather than functioning as a substitutionary covering that turns away divine wrath. On this reading, the emphasis falls on Israel’s corporate identity as a delivered people, and the blood is a badge of belonging rather than a propitiatory covering. This reading should be</w:t>
      </w:r>
      <w:r>
        <w:t xml:space="preserve"> </w:t>
      </w:r>
      <w:r>
        <w:rPr>
          <w:i/>
          <w:iCs/>
        </w:rPr>
        <w:t xml:space="preserve">refuted</w:t>
      </w:r>
      <w:r>
        <w:t xml:space="preserve">. The text is unambiguous:</w:t>
      </w:r>
      <w:r>
        <w:t xml:space="preserve"> </w:t>
      </w:r>
      <w:r>
        <w:t xml:space="preserve">“When I see the blood, I will pass over you”</w:t>
      </w:r>
      <w:r>
        <w:t xml:space="preserve"> </w:t>
      </w:r>
      <w:r>
        <w:t xml:space="preserve">(v. 13). The blood does not identify Israel to God — God already knows who His people are. The blood functions specifically to turn away the destroyer. The mechanism is propitiation and substitution: the lamb dies, its blood is applied, and the firstborn of that household is spared. The lamb is explicitly</w:t>
      </w:r>
      <w:r>
        <w:t xml:space="preserve"> </w:t>
      </w:r>
      <w:r>
        <w:t xml:space="preserve">“without blemish”</w:t>
      </w:r>
      <w:r>
        <w:t xml:space="preserve"> </w:t>
      </w:r>
      <w:r>
        <w:t xml:space="preserve">(v. 5), a designation that throughout the Old Testament marks an animal fit for substitutionary sacrifice. The communal identity dimension is real — the meal is shared, the feast is communal — but the blood’s function is unambiguously propitiatory. The Reformed reading stands: this is substitutionary atonement in type and shadow.</w:t>
      </w:r>
    </w:p>
    <w:p>
      <w:pPr>
        <w:pStyle w:val="BodyText"/>
      </w:pPr>
      <w:r>
        <w:rPr>
          <w:b/>
          <w:bCs/>
        </w:rPr>
        <w:t xml:space="preserve">The relationship between Passover and the Lord’s Supper</w:t>
      </w:r>
    </w:p>
    <w:p>
      <w:pPr>
        <w:pStyle w:val="BodyText"/>
      </w:pPr>
      <w:r>
        <w:t xml:space="preserve">Baptist and non-liturgical evangelical traditions sometimes underread the Passover’s intentional memorial structure, treating the Feast of Unleavened Bread regulations (vv. 14–20) as merely Jewish ceremonial law of limited canonical interest. This misses the way God Himself here establishes the category of</w:t>
      </w:r>
      <w:r>
        <w:t xml:space="preserve"> </w:t>
      </w:r>
      <w:r>
        <w:rPr>
          <w:i/>
          <w:iCs/>
        </w:rPr>
        <w:t xml:space="preserve">ordained memorial</w:t>
      </w:r>
      <w:r>
        <w:t xml:space="preserve"> </w:t>
      </w:r>
      <w:r>
        <w:t xml:space="preserve">— an embodied, repeated, communal rite designed to carry redemptive memory across generations. The Lord’s Supper does not replace this structure accidentally; it fulfills it intentionally (Luke 22:14–20). Preaching Exodus 12 without attending to this memorial architecture is to truncate the text’s own concern. At the same time, some liturgical traditions (Roman Catholic, some Anglican) overread the Passover in the direction of the Eucharist in ways that import later sacramental categories into the text itself. The right move is to</w:t>
      </w:r>
      <w:r>
        <w:t xml:space="preserve"> </w:t>
      </w:r>
      <w:r>
        <w:rPr>
          <w:i/>
          <w:iCs/>
        </w:rPr>
        <w:t xml:space="preserve">acknowledge</w:t>
      </w:r>
      <w:r>
        <w:t xml:space="preserve"> </w:t>
      </w:r>
      <w:r>
        <w:t xml:space="preserve">the trajectory without importing the destination — the text teaches that God ordains embodied communal remembrance of redemption; the New Testament identifies the Lord’s Supper as the fulfillment; the preacher should name both without collapsing the Passover into the Supper or reading the Supper’s full sacramental meaning back into Exodus 12.</w:t>
      </w:r>
    </w:p>
    <w:p>
      <w:pPr>
        <w:pStyle w:val="BodyText"/>
      </w:pPr>
      <w:r>
        <w:rPr>
          <w:b/>
          <w:bCs/>
        </w:rPr>
        <w:t xml:space="preserve">The</w:t>
      </w:r>
      <w:r>
        <w:rPr>
          <w:b/>
          <w:bCs/>
        </w:rPr>
        <w:t xml:space="preserve"> </w:t>
      </w:r>
      <w:r>
        <w:rPr>
          <w:b/>
          <w:bCs/>
        </w:rPr>
        <w:t xml:space="preserve">“mixed multitude”</w:t>
      </w:r>
      <w:r>
        <w:rPr>
          <w:b/>
          <w:bCs/>
        </w:rPr>
        <w:t xml:space="preserve"> </w:t>
      </w:r>
      <w:r>
        <w:rPr>
          <w:b/>
          <w:bCs/>
        </w:rPr>
        <w:t xml:space="preserve">and who may eat the Passover (vv. 43–51)</w:t>
      </w:r>
    </w:p>
    <w:p>
      <w:pPr>
        <w:pStyle w:val="BodyText"/>
      </w:pPr>
      <w:r>
        <w:t xml:space="preserve">The closing regulations, which restrict Passover participation to the circumcised while including foreigners who submit to circumcision, have been read in various ways. Dispensational interpreters sometimes treat this as a mark of the sharp Israel/Gentile distinction that must be maintained until the Church age resolves it. The Reformed reading</w:t>
      </w:r>
      <w:r>
        <w:t xml:space="preserve"> </w:t>
      </w:r>
      <w:r>
        <w:rPr>
          <w:i/>
          <w:iCs/>
        </w:rPr>
        <w:t xml:space="preserve">qualifies</w:t>
      </w:r>
      <w:r>
        <w:t xml:space="preserve"> </w:t>
      </w:r>
      <w:r>
        <w:t xml:space="preserve">this: the regulations show that covenant participation is not ethnic but confessional — the foreigner who submits to the covenant sign eats the Passover alongside native Israelites (v. 48). This is a critical canonical point: from the very founding redemptive event, God’s people are defined by covenant faith and submission, not bloodline. The</w:t>
      </w:r>
      <w:r>
        <w:t xml:space="preserve"> </w:t>
      </w:r>
      <w:r>
        <w:t xml:space="preserve">“mixed multitude”</w:t>
      </w:r>
      <w:r>
        <w:t xml:space="preserve"> </w:t>
      </w:r>
      <w:r>
        <w:t xml:space="preserve">(v. 38) who left with Israel foreshadows the Gentile inclusion that the New Testament will unfold fully. Dispensational readings that treat this passage as a hard boundary marker miss the way the text itself opens the table to all who confess and submit.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22:1–14</w:t>
      </w:r>
      <w:r>
        <w:t xml:space="preserve"> </w:t>
      </w:r>
      <w:r>
        <w:t xml:space="preserve">— The binding of Isaac establishes</w:t>
      </w:r>
      <w:r>
        <w:t xml:space="preserve"> </w:t>
      </w:r>
      <w:r>
        <w:t xml:space="preserve">“God will provide for Himself the lamb”</w:t>
      </w:r>
      <w:r>
        <w:t xml:space="preserve"> </w:t>
      </w:r>
      <w:r>
        <w:t xml:space="preserve">as the governing promise; Exodus 12 is its first major redemptive-historical fulfillment. The Passover lamb is the provision God had promised; both passages establish that deliverance comes through a substitute God Himself provides.</w:t>
      </w:r>
    </w:p>
    <w:p>
      <w:pPr>
        <w:numPr>
          <w:ilvl w:val="0"/>
          <w:numId w:val="1001"/>
        </w:numPr>
      </w:pPr>
      <w:r>
        <w:rPr>
          <w:b/>
          <w:bCs/>
        </w:rPr>
        <w:t xml:space="preserve">Isaiah 53:4–7</w:t>
      </w:r>
      <w:r>
        <w:t xml:space="preserve"> </w:t>
      </w:r>
      <w:r>
        <w:t xml:space="preserve">— The Suffering Servant is led like a lamb to the slaughter, bearing the iniquity of many; this passage establishes the typological trajectory that runs from Passover lamb through Servant through Christ. The</w:t>
      </w:r>
      <w:r>
        <w:t xml:space="preserve"> </w:t>
      </w:r>
      <w:r>
        <w:t xml:space="preserve">“without blemish”</w:t>
      </w:r>
      <w:r>
        <w:t xml:space="preserve"> </w:t>
      </w:r>
      <w:r>
        <w:t xml:space="preserve">requirement of Exodus 12:5 reaches its ultimate referent here.</w:t>
      </w:r>
    </w:p>
    <w:p>
      <w:pPr>
        <w:numPr>
          <w:ilvl w:val="0"/>
          <w:numId w:val="1001"/>
        </w:numPr>
      </w:pPr>
      <w:r>
        <w:rPr>
          <w:b/>
          <w:bCs/>
        </w:rPr>
        <w:t xml:space="preserve">John 1:29; 19:36</w:t>
      </w:r>
      <w:r>
        <w:t xml:space="preserve"> </w:t>
      </w:r>
      <w:r>
        <w:t xml:space="preserve">— John the Baptist identifies Jesus as</w:t>
      </w:r>
      <w:r>
        <w:t xml:space="preserve"> </w:t>
      </w:r>
      <w:r>
        <w:t xml:space="preserve">“the Lamb of God who takes away the sin of the world”</w:t>
      </w:r>
      <w:r>
        <w:t xml:space="preserve">; John’s Gospel carefully notes that Jesus’ bones were not broken (fulfilling Exodus 12:46), making explicit that Jesus is the Passover Lamb in His own person and death.</w:t>
      </w:r>
    </w:p>
    <w:p>
      <w:pPr>
        <w:numPr>
          <w:ilvl w:val="0"/>
          <w:numId w:val="1001"/>
        </w:numPr>
      </w:pPr>
      <w:r>
        <w:rPr>
          <w:b/>
          <w:bCs/>
        </w:rPr>
        <w:t xml:space="preserve">1 Corinthians 5:7–8</w:t>
      </w:r>
      <w:r>
        <w:t xml:space="preserve"> </w:t>
      </w:r>
      <w:r>
        <w:t xml:space="preserve">— Paul states plainly:</w:t>
      </w:r>
      <w:r>
        <w:t xml:space="preserve"> </w:t>
      </w:r>
      <w:r>
        <w:t xml:space="preserve">“Christ our Passover lamb has been sacrificed”</w:t>
      </w:r>
      <w:r>
        <w:t xml:space="preserve">; the Feast of Unleavened Bread imagery is applied to the moral life of the church. This is the New Testament’s clearest canonical claim that Exodus 12 is not merely background to the gospel but its definitive type.</w:t>
      </w:r>
    </w:p>
    <w:p>
      <w:pPr>
        <w:numPr>
          <w:ilvl w:val="0"/>
          <w:numId w:val="1001"/>
        </w:numPr>
      </w:pPr>
      <w:r>
        <w:rPr>
          <w:b/>
          <w:bCs/>
        </w:rPr>
        <w:t xml:space="preserve">Luke 22:14–20</w:t>
      </w:r>
      <w:r>
        <w:t xml:space="preserve"> </w:t>
      </w:r>
      <w:r>
        <w:t xml:space="preserve">— Jesus institutes the Lord’s Supper</w:t>
      </w:r>
      <w:r>
        <w:t xml:space="preserve"> </w:t>
      </w:r>
      <w:r>
        <w:rPr>
          <w:i/>
          <w:iCs/>
        </w:rPr>
        <w:t xml:space="preserve">within the Passover meal</w:t>
      </w:r>
      <w:r>
        <w:t xml:space="preserve">, explicitly identifying the cup as</w:t>
      </w:r>
      <w:r>
        <w:t xml:space="preserve"> </w:t>
      </w:r>
      <w:r>
        <w:t xml:space="preserve">“the new covenant in my blood.”</w:t>
      </w:r>
      <w:r>
        <w:t xml:space="preserve"> </w:t>
      </w:r>
      <w:r>
        <w:t xml:space="preserve">The memorial structure God established in Exodus 12 is not abolished but transformed and fulfilled; the Passover’s</w:t>
      </w:r>
      <w:r>
        <w:t xml:space="preserve"> </w:t>
      </w:r>
      <w:r>
        <w:t xml:space="preserve">“you shall observe this as a statute forever”</w:t>
      </w:r>
      <w:r>
        <w:t xml:space="preserve"> </w:t>
      </w:r>
      <w:r>
        <w:t xml:space="preserve">(v. 14) finds its New Testament form in</w:t>
      </w:r>
      <w:r>
        <w:t xml:space="preserve"> </w:t>
      </w:r>
      <w:r>
        <w:t xml:space="preserve">“do this in remembrance of me.”</w:t>
      </w:r>
    </w:p>
    <w:p>
      <w:r>
        <w:pict>
          <v:rect style="width:0;height:1.5pt" o:hralign="center" o:hrstd="t" o:hr="t"/>
        </w:pict>
      </w:r>
    </w:p>
    <w:p>
      <w:pPr>
        <w:pStyle w:val="FirstParagraph"/>
      </w:pPr>
      <w:r>
        <w:rPr>
          <w:b/>
          <w:bCs/>
        </w:rPr>
        <w:t xml:space="preserve">Aim:</w:t>
      </w:r>
      <w:r>
        <w:t xml:space="preserve"> </w:t>
      </w:r>
      <w:r>
        <w:t xml:space="preserve">To press the reader and hearer to face the one question Exodus 12 insists on answering: what stands between you and judgment — and to find that the only adequate answer is the blood of the Lamb God Himself provided.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God speaks to Moses and Aaron; establishes Nisan as the first month — a new calendar for a new people</w:t>
            </w:r>
          </w:p>
        </w:tc>
        <w:tc>
          <w:tcPr/>
          <w:p>
            <w:pPr>
              <w:pStyle w:val="Compact"/>
            </w:pPr>
            <w:r>
              <w:t xml:space="preserve">The calendar itself is reordered — redemption restructures how Israel marks time</w:t>
            </w:r>
          </w:p>
        </w:tc>
      </w:tr>
      <w:tr>
        <w:tc>
          <w:tcPr/>
          <w:p>
            <w:pPr>
              <w:pStyle w:val="Compact"/>
            </w:pPr>
            <w:r>
              <w:t xml:space="preserve">3–5</w:t>
            </w:r>
          </w:p>
        </w:tc>
        <w:tc>
          <w:tcPr/>
          <w:p>
            <w:pPr>
              <w:pStyle w:val="Compact"/>
            </w:pPr>
            <w:r>
              <w:t xml:space="preserve">Instructions: a lamb per household, without blemish, one year old, from sheep or goats</w:t>
            </w:r>
          </w:p>
        </w:tc>
        <w:tc>
          <w:tcPr/>
          <w:p>
            <w:pPr>
              <w:pStyle w:val="Compact"/>
            </w:pPr>
            <w:r>
              <w:t xml:space="preserve">“Without blemish”</w:t>
            </w:r>
            <w:r>
              <w:t xml:space="preserve"> </w:t>
            </w:r>
            <w:r>
              <w:t xml:space="preserve">— cultic perfection required; the lamb must be adequate as a substitute</w:t>
            </w:r>
          </w:p>
        </w:tc>
      </w:tr>
      <w:tr>
        <w:tc>
          <w:tcPr/>
          <w:p>
            <w:pPr>
              <w:pStyle w:val="Compact"/>
            </w:pPr>
            <w:r>
              <w:t xml:space="preserve">6–7</w:t>
            </w:r>
          </w:p>
        </w:tc>
        <w:tc>
          <w:tcPr/>
          <w:p>
            <w:pPr>
              <w:pStyle w:val="Compact"/>
            </w:pPr>
            <w:r>
              <w:t xml:space="preserve">The lamb is kept until the fourteenth day, then slaughtered at twilight; blood applied to doorposts and lintel</w:t>
            </w:r>
          </w:p>
        </w:tc>
        <w:tc>
          <w:tcPr/>
          <w:p>
            <w:pPr>
              <w:pStyle w:val="Compact"/>
            </w:pPr>
            <w:r>
              <w:t xml:space="preserve">The blood on the threshold frames the household; this is the propitiatory act</w:t>
            </w:r>
          </w:p>
        </w:tc>
      </w:tr>
      <w:tr>
        <w:tc>
          <w:tcPr/>
          <w:p>
            <w:pPr>
              <w:pStyle w:val="Compact"/>
            </w:pPr>
            <w:r>
              <w:t xml:space="preserve">8–11</w:t>
            </w:r>
          </w:p>
        </w:tc>
        <w:tc>
          <w:tcPr/>
          <w:p>
            <w:pPr>
              <w:pStyle w:val="Compact"/>
            </w:pPr>
            <w:r>
              <w:t xml:space="preserve">The meal: roasted, with unleavened bread and bitter herbs; eaten in haste, fully dressed, ready to depart</w:t>
            </w:r>
          </w:p>
        </w:tc>
        <w:tc>
          <w:tcPr/>
          <w:p>
            <w:pPr>
              <w:pStyle w:val="Compact"/>
            </w:pPr>
            <w:r>
              <w:t xml:space="preserve">The posture of the meal communicates urgency; they eat as people about to be freed</w:t>
            </w:r>
          </w:p>
        </w:tc>
      </w:tr>
      <w:tr>
        <w:tc>
          <w:tcPr/>
          <w:p>
            <w:pPr>
              <w:pStyle w:val="Compact"/>
            </w:pPr>
            <w:r>
              <w:t xml:space="preserve">12–13</w:t>
            </w:r>
          </w:p>
        </w:tc>
        <w:tc>
          <w:tcPr/>
          <w:p>
            <w:pPr>
              <w:pStyle w:val="Compact"/>
            </w:pPr>
            <w:r>
              <w:t xml:space="preserve">God’s declaration: He will strike every firstborn in Egypt; when He sees the blood, He will pass over</w:t>
            </w:r>
          </w:p>
        </w:tc>
        <w:tc>
          <w:tcPr/>
          <w:p>
            <w:pPr>
              <w:pStyle w:val="Compact"/>
            </w:pPr>
            <w:r>
              <w:t xml:space="preserve">The mechanism is explicit — the blood causes God to pass over; substitution is the logic</w:t>
            </w:r>
          </w:p>
        </w:tc>
      </w:tr>
      <w:tr>
        <w:tc>
          <w:tcPr/>
          <w:p>
            <w:pPr>
              <w:pStyle w:val="Compact"/>
            </w:pPr>
            <w:r>
              <w:t xml:space="preserve">14–16</w:t>
            </w:r>
          </w:p>
        </w:tc>
        <w:tc>
          <w:tcPr/>
          <w:p>
            <w:pPr>
              <w:pStyle w:val="Compact"/>
            </w:pPr>
            <w:r>
              <w:t xml:space="preserve">The Feast of Unleavened Bread: seven days, no leaven, first and seventh days are holy assemblies</w:t>
            </w:r>
          </w:p>
        </w:tc>
        <w:tc>
          <w:tcPr/>
          <w:p>
            <w:pPr>
              <w:pStyle w:val="Compact"/>
            </w:pPr>
            <w:r>
              <w:t xml:space="preserve">The feast extends the Passover’s meaning across seven days; perpetual remembrance begins immediately</w:t>
            </w:r>
          </w:p>
        </w:tc>
      </w:tr>
      <w:tr>
        <w:tc>
          <w:tcPr/>
          <w:p>
            <w:pPr>
              <w:pStyle w:val="Compact"/>
            </w:pPr>
            <w:r>
              <w:t xml:space="preserve">17–20</w:t>
            </w:r>
          </w:p>
        </w:tc>
        <w:tc>
          <w:tcPr/>
          <w:p>
            <w:pPr>
              <w:pStyle w:val="Compact"/>
            </w:pPr>
            <w:r>
              <w:t xml:space="preserve">The feast is to be observed</w:t>
            </w:r>
            <w:r>
              <w:t xml:space="preserve"> </w:t>
            </w:r>
            <w:r>
              <w:t xml:space="preserve">“forever”</w:t>
            </w:r>
            <w:r>
              <w:t xml:space="preserve"> </w:t>
            </w:r>
            <w:r>
              <w:t xml:space="preserve">across all generations; leaven removal is commanded strictly</w:t>
            </w:r>
          </w:p>
        </w:tc>
        <w:tc>
          <w:tcPr/>
          <w:p>
            <w:pPr>
              <w:pStyle w:val="Compact"/>
            </w:pPr>
            <w:r>
              <w:t xml:space="preserve">The severity of the leaven prohibition signals the holiness of the memorial; exclusion for violation</w:t>
            </w:r>
          </w:p>
        </w:tc>
      </w:tr>
      <w:tr>
        <w:tc>
          <w:tcPr/>
          <w:p>
            <w:pPr>
              <w:pStyle w:val="Compact"/>
            </w:pPr>
            <w:r>
              <w:t xml:space="preserve">21–23</w:t>
            </w:r>
          </w:p>
        </w:tc>
        <w:tc>
          <w:tcPr/>
          <w:p>
            <w:pPr>
              <w:pStyle w:val="Compact"/>
            </w:pPr>
            <w:r>
              <w:t xml:space="preserve">Moses relays instructions to elders; adds the detail of</w:t>
            </w:r>
            <w:r>
              <w:t xml:space="preserve"> </w:t>
            </w:r>
            <w:r>
              <w:t xml:space="preserve">“the destroyer”</w:t>
            </w:r>
            <w:r>
              <w:t xml:space="preserve"> </w:t>
            </w:r>
            <w:r>
              <w:t xml:space="preserve">who the blood prevents from entering</w:t>
            </w:r>
          </w:p>
        </w:tc>
        <w:tc>
          <w:tcPr/>
          <w:p>
            <w:pPr>
              <w:pStyle w:val="Compact"/>
            </w:pPr>
            <w:r>
              <w:t xml:space="preserve">“The destroyer”</w:t>
            </w:r>
            <w:r>
              <w:t xml:space="preserve"> </w:t>
            </w:r>
            <w:r>
              <w:t xml:space="preserve">— divine agency through an instrument; the blood is the barrier</w:t>
            </w:r>
          </w:p>
        </w:tc>
      </w:tr>
      <w:tr>
        <w:tc>
          <w:tcPr/>
          <w:p>
            <w:pPr>
              <w:pStyle w:val="Compact"/>
            </w:pPr>
            <w:r>
              <w:t xml:space="preserve">24–27</w:t>
            </w:r>
          </w:p>
        </w:tc>
        <w:tc>
          <w:tcPr/>
          <w:p>
            <w:pPr>
              <w:pStyle w:val="Compact"/>
            </w:pPr>
            <w:r>
              <w:t xml:space="preserve">Command to observe this rite permanently; when children ask</w:t>
            </w:r>
            <w:r>
              <w:t xml:space="preserve"> </w:t>
            </w:r>
            <w:r>
              <w:t xml:space="preserve">“what does this rite mean?”</w:t>
            </w:r>
            <w:r>
              <w:t xml:space="preserve"> </w:t>
            </w:r>
            <w:r>
              <w:t xml:space="preserve">they are to be told</w:t>
            </w:r>
          </w:p>
        </w:tc>
        <w:tc>
          <w:tcPr/>
          <w:p>
            <w:pPr>
              <w:pStyle w:val="Compact"/>
            </w:pPr>
            <w:r>
              <w:t xml:space="preserve">The intergenerational catechetical function is built in; the feast is designed to generate the question</w:t>
            </w:r>
          </w:p>
        </w:tc>
      </w:tr>
      <w:tr>
        <w:tc>
          <w:tcPr/>
          <w:p>
            <w:pPr>
              <w:pStyle w:val="Compact"/>
            </w:pPr>
            <w:r>
              <w:t xml:space="preserve">28</w:t>
            </w:r>
          </w:p>
        </w:tc>
        <w:tc>
          <w:tcPr/>
          <w:p>
            <w:pPr>
              <w:pStyle w:val="Compact"/>
            </w:pPr>
            <w:r>
              <w:t xml:space="preserve">The people bow in worship and obey —</w:t>
            </w:r>
            <w:r>
              <w:t xml:space="preserve"> </w:t>
            </w:r>
            <w:r>
              <w:t xml:space="preserve">“just as the LORD had commanded”</w:t>
            </w:r>
          </w:p>
        </w:tc>
        <w:tc>
          <w:tcPr/>
          <w:p>
            <w:pPr>
              <w:pStyle w:val="Compact"/>
            </w:pPr>
            <w:r>
              <w:t xml:space="preserve">Obedience is total and immediate; no negotiation, no partial compliance</w:t>
            </w:r>
          </w:p>
        </w:tc>
      </w:tr>
      <w:tr>
        <w:tc>
          <w:tcPr/>
          <w:p>
            <w:pPr>
              <w:pStyle w:val="Compact"/>
            </w:pPr>
            <w:r>
              <w:t xml:space="preserve">29–30</w:t>
            </w:r>
          </w:p>
        </w:tc>
        <w:tc>
          <w:tcPr/>
          <w:p>
            <w:pPr>
              <w:pStyle w:val="Compact"/>
            </w:pPr>
            <w:r>
              <w:t xml:space="preserve">At midnight: every firstborn in Egypt struck; Pharaoh, prisoners, livestock — none exempt</w:t>
            </w:r>
          </w:p>
        </w:tc>
        <w:tc>
          <w:tcPr/>
          <w:p>
            <w:pPr>
              <w:pStyle w:val="Compact"/>
            </w:pPr>
            <w:r>
              <w:t xml:space="preserve">The judgment is comprehensive and sovereign; rank provides no protection</w:t>
            </w:r>
          </w:p>
        </w:tc>
      </w:tr>
      <w:tr>
        <w:tc>
          <w:tcPr/>
          <w:p>
            <w:pPr>
              <w:pStyle w:val="Compact"/>
            </w:pPr>
            <w:r>
              <w:t xml:space="preserve">31–32</w:t>
            </w:r>
          </w:p>
        </w:tc>
        <w:tc>
          <w:tcPr/>
          <w:p>
            <w:pPr>
              <w:pStyle w:val="Compact"/>
            </w:pPr>
            <w:r>
              <w:t xml:space="preserve">Pharaoh summons Moses and Aaron at night; commands Israel to leave, asks for a blessing</w:t>
            </w:r>
          </w:p>
        </w:tc>
        <w:tc>
          <w:tcPr/>
          <w:p>
            <w:pPr>
              <w:pStyle w:val="Compact"/>
            </w:pPr>
            <w:r>
              <w:t xml:space="preserve">The reversal is complete — the one who would not let them go now begs them to leave</w:t>
            </w:r>
          </w:p>
        </w:tc>
      </w:tr>
      <w:tr>
        <w:tc>
          <w:tcPr/>
          <w:p>
            <w:pPr>
              <w:pStyle w:val="Compact"/>
            </w:pPr>
            <w:r>
              <w:t xml:space="preserve">33–36</w:t>
            </w:r>
          </w:p>
        </w:tc>
        <w:tc>
          <w:tcPr/>
          <w:p>
            <w:pPr>
              <w:pStyle w:val="Compact"/>
            </w:pPr>
            <w:r>
              <w:t xml:space="preserve">Egyptians urge Israel to go; Israel plunders Egypt — silver, gold, clothing</w:t>
            </w:r>
          </w:p>
        </w:tc>
        <w:tc>
          <w:tcPr/>
          <w:p>
            <w:pPr>
              <w:pStyle w:val="Compact"/>
            </w:pPr>
            <w:r>
              <w:t xml:space="preserve">The</w:t>
            </w:r>
            <w:r>
              <w:t xml:space="preserve"> </w:t>
            </w:r>
            <w:r>
              <w:t xml:space="preserve">“plundering of Egypt”</w:t>
            </w:r>
            <w:r>
              <w:t xml:space="preserve"> </w:t>
            </w:r>
            <w:r>
              <w:t xml:space="preserve">(cf. 3:22) is fulfilled; God’s earlier promise kept exactly</w:t>
            </w:r>
          </w:p>
        </w:tc>
      </w:tr>
      <w:tr>
        <w:tc>
          <w:tcPr/>
          <w:p>
            <w:pPr>
              <w:pStyle w:val="Compact"/>
            </w:pPr>
            <w:r>
              <w:t xml:space="preserve">37–38</w:t>
            </w:r>
          </w:p>
        </w:tc>
        <w:tc>
          <w:tcPr/>
          <w:p>
            <w:pPr>
              <w:pStyle w:val="Compact"/>
            </w:pPr>
            <w:r>
              <w:t xml:space="preserve">Israel departs from Rameses to Succoth — 600,000 men plus women, children, and a</w:t>
            </w:r>
            <w:r>
              <w:t xml:space="preserve"> </w:t>
            </w:r>
            <w:r>
              <w:t xml:space="preserve">“mixed multitude”</w:t>
            </w:r>
          </w:p>
        </w:tc>
        <w:tc>
          <w:tcPr/>
          <w:p>
            <w:pPr>
              <w:pStyle w:val="Compact"/>
            </w:pPr>
            <w:r>
              <w:t xml:space="preserve">The mixed multitude signals non-Israelite participation in the exodus from the beginning</w:t>
            </w:r>
          </w:p>
        </w:tc>
      </w:tr>
      <w:tr>
        <w:tc>
          <w:tcPr/>
          <w:p>
            <w:pPr>
              <w:pStyle w:val="Compact"/>
            </w:pPr>
            <w:r>
              <w:t xml:space="preserve">39</w:t>
            </w:r>
          </w:p>
        </w:tc>
        <w:tc>
          <w:tcPr/>
          <w:p>
            <w:pPr>
              <w:pStyle w:val="Compact"/>
            </w:pPr>
            <w:r>
              <w:t xml:space="preserve">They bake unleavened bread because they were driven out before they could prepare provisions</w:t>
            </w:r>
          </w:p>
        </w:tc>
        <w:tc>
          <w:tcPr/>
          <w:p>
            <w:pPr>
              <w:pStyle w:val="Compact"/>
            </w:pPr>
            <w:r>
              <w:t xml:space="preserve">The unleavened bread of haste becomes the bread of the feast — history explains the liturgy</w:t>
            </w:r>
          </w:p>
        </w:tc>
      </w:tr>
      <w:tr>
        <w:tc>
          <w:tcPr/>
          <w:p>
            <w:pPr>
              <w:pStyle w:val="Compact"/>
            </w:pPr>
            <w:r>
              <w:t xml:space="preserve">40–42</w:t>
            </w:r>
          </w:p>
        </w:tc>
        <w:tc>
          <w:tcPr/>
          <w:p>
            <w:pPr>
              <w:pStyle w:val="Compact"/>
            </w:pPr>
            <w:r>
              <w:t xml:space="preserve">430 years in Egypt ends this night; it is</w:t>
            </w:r>
            <w:r>
              <w:t xml:space="preserve"> </w:t>
            </w:r>
            <w:r>
              <w:t xml:space="preserve">“a night of watching”</w:t>
            </w:r>
            <w:r>
              <w:t xml:space="preserve"> </w:t>
            </w:r>
            <w:r>
              <w:t xml:space="preserve">by the LORD for all generations</w:t>
            </w:r>
          </w:p>
        </w:tc>
        <w:tc>
          <w:tcPr/>
          <w:p>
            <w:pPr>
              <w:pStyle w:val="Compact"/>
            </w:pPr>
            <w:r>
              <w:t xml:space="preserve">God’s faithfulness to His covenant timetable; this night belongs to the LORD’s own keeping</w:t>
            </w:r>
          </w:p>
        </w:tc>
      </w:tr>
      <w:tr>
        <w:tc>
          <w:tcPr/>
          <w:p>
            <w:pPr>
              <w:pStyle w:val="Compact"/>
            </w:pPr>
            <w:r>
              <w:t xml:space="preserve">43–45</w:t>
            </w:r>
          </w:p>
        </w:tc>
        <w:tc>
          <w:tcPr/>
          <w:p>
            <w:pPr>
              <w:pStyle w:val="Compact"/>
            </w:pPr>
            <w:r>
              <w:t xml:space="preserve">Passover regulations: no foreigner, no hired servant, no uncircumcised person may eat</w:t>
            </w:r>
          </w:p>
        </w:tc>
        <w:tc>
          <w:tcPr/>
          <w:p>
            <w:pPr>
              <w:pStyle w:val="Compact"/>
            </w:pPr>
            <w:r>
              <w:t xml:space="preserve">Participation requires covenant commitment — the meal is for those inside the covenant</w:t>
            </w:r>
          </w:p>
        </w:tc>
      </w:tr>
      <w:tr>
        <w:tc>
          <w:tcPr/>
          <w:p>
            <w:pPr>
              <w:pStyle w:val="Compact"/>
            </w:pPr>
            <w:r>
              <w:t xml:space="preserve">46–47</w:t>
            </w:r>
          </w:p>
        </w:tc>
        <w:tc>
          <w:tcPr/>
          <w:p>
            <w:pPr>
              <w:pStyle w:val="Compact"/>
            </w:pPr>
            <w:r>
              <w:t xml:space="preserve">The lamb is eaten in one house; no bone broken; all Israel shall keep it</w:t>
            </w:r>
          </w:p>
        </w:tc>
        <w:tc>
          <w:tcPr/>
          <w:p>
            <w:pPr>
              <w:pStyle w:val="Compact"/>
            </w:pPr>
            <w:r>
              <w:t xml:space="preserve">The</w:t>
            </w:r>
            <w:r>
              <w:t xml:space="preserve"> </w:t>
            </w:r>
            <w:r>
              <w:t xml:space="preserve">“no bone broken”</w:t>
            </w:r>
            <w:r>
              <w:t xml:space="preserve"> </w:t>
            </w:r>
            <w:r>
              <w:t xml:space="preserve">stipulation has direct New Testament fulfillment (John 19:36)</w:t>
            </w:r>
          </w:p>
        </w:tc>
      </w:tr>
      <w:tr>
        <w:tc>
          <w:tcPr/>
          <w:p>
            <w:pPr>
              <w:pStyle w:val="Compact"/>
            </w:pPr>
            <w:r>
              <w:t xml:space="preserve">48–49</w:t>
            </w:r>
          </w:p>
        </w:tc>
        <w:tc>
          <w:tcPr/>
          <w:p>
            <w:pPr>
              <w:pStyle w:val="Compact"/>
            </w:pPr>
            <w:r>
              <w:t xml:space="preserve">A foreigner who desires to keep the Passover must be circumcised — then he may participate as a native</w:t>
            </w:r>
          </w:p>
        </w:tc>
        <w:tc>
          <w:tcPr/>
          <w:p>
            <w:pPr>
              <w:pStyle w:val="Compact"/>
            </w:pPr>
            <w:r>
              <w:t xml:space="preserve">Covenant membership is open to all who submit to its sign; ethnicity is not the boundary</w:t>
            </w:r>
          </w:p>
        </w:tc>
      </w:tr>
      <w:tr>
        <w:tc>
          <w:tcPr/>
          <w:p>
            <w:pPr>
              <w:pStyle w:val="Compact"/>
            </w:pPr>
            <w:r>
              <w:t xml:space="preserve">50–51</w:t>
            </w:r>
          </w:p>
        </w:tc>
        <w:tc>
          <w:tcPr/>
          <w:p>
            <w:pPr>
              <w:pStyle w:val="Compact"/>
            </w:pPr>
            <w:r>
              <w:t xml:space="preserve">Israel obeys exactly; God brings them out of Egypt by their hosts on that very day</w:t>
            </w:r>
          </w:p>
        </w:tc>
        <w:tc>
          <w:tcPr/>
          <w:p>
            <w:pPr>
              <w:pStyle w:val="Compact"/>
            </w:pPr>
            <w:r>
              <w:t xml:space="preserve">“Just as the LORD had commanded”</w:t>
            </w:r>
            <w:r>
              <w:t xml:space="preserve"> </w:t>
            </w:r>
            <w:r>
              <w:t xml:space="preserve">— bookend to v. 28; obedience frames the entire chapter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The Blood Appointed: God’s Instructions for the Passover Night</w:t>
            </w:r>
          </w:p>
        </w:tc>
      </w:tr>
      <w:tr>
        <w:tc>
          <w:tcPr/>
          <w:p>
            <w:pPr>
              <w:pStyle w:val="Compact"/>
            </w:pPr>
            <w:r>
              <w:t xml:space="preserve">2</w:t>
            </w:r>
          </w:p>
        </w:tc>
        <w:tc>
          <w:tcPr/>
          <w:p>
            <w:pPr>
              <w:pStyle w:val="Compact"/>
            </w:pPr>
            <w:r>
              <w:t xml:space="preserve">14–20</w:t>
            </w:r>
          </w:p>
        </w:tc>
        <w:tc>
          <w:tcPr/>
          <w:p>
            <w:pPr>
              <w:pStyle w:val="Compact"/>
            </w:pPr>
            <w:r>
              <w:t xml:space="preserve">The Feast Ordained: God Establishes Perpetual Memorial</w:t>
            </w:r>
          </w:p>
        </w:tc>
      </w:tr>
      <w:tr>
        <w:tc>
          <w:tcPr/>
          <w:p>
            <w:pPr>
              <w:pStyle w:val="Compact"/>
            </w:pPr>
            <w:r>
              <w:t xml:space="preserve">3</w:t>
            </w:r>
          </w:p>
        </w:tc>
        <w:tc>
          <w:tcPr/>
          <w:p>
            <w:pPr>
              <w:pStyle w:val="Compact"/>
            </w:pPr>
            <w:r>
              <w:t xml:space="preserve">21–28</w:t>
            </w:r>
          </w:p>
        </w:tc>
        <w:tc>
          <w:tcPr/>
          <w:p>
            <w:pPr>
              <w:pStyle w:val="Compact"/>
            </w:pPr>
            <w:r>
              <w:t xml:space="preserve">The Word Relayed: Moses, the Elders, and the People’s Obedience</w:t>
            </w:r>
          </w:p>
        </w:tc>
      </w:tr>
      <w:tr>
        <w:tc>
          <w:tcPr/>
          <w:p>
            <w:pPr>
              <w:pStyle w:val="Compact"/>
            </w:pPr>
            <w:r>
              <w:t xml:space="preserve">4</w:t>
            </w:r>
          </w:p>
        </w:tc>
        <w:tc>
          <w:tcPr/>
          <w:p>
            <w:pPr>
              <w:pStyle w:val="Compact"/>
            </w:pPr>
            <w:r>
              <w:t xml:space="preserve">29–36</w:t>
            </w:r>
          </w:p>
        </w:tc>
        <w:tc>
          <w:tcPr/>
          <w:p>
            <w:pPr>
              <w:pStyle w:val="Compact"/>
            </w:pPr>
            <w:r>
              <w:t xml:space="preserve">The Night Executed: Judgment Falls, Israel Released</w:t>
            </w:r>
          </w:p>
        </w:tc>
      </w:tr>
      <w:tr>
        <w:tc>
          <w:tcPr/>
          <w:p>
            <w:pPr>
              <w:pStyle w:val="Compact"/>
            </w:pPr>
            <w:r>
              <w:t xml:space="preserve">5</w:t>
            </w:r>
          </w:p>
        </w:tc>
        <w:tc>
          <w:tcPr/>
          <w:p>
            <w:pPr>
              <w:pStyle w:val="Compact"/>
            </w:pPr>
            <w:r>
              <w:t xml:space="preserve">37–42</w:t>
            </w:r>
          </w:p>
        </w:tc>
        <w:tc>
          <w:tcPr/>
          <w:p>
            <w:pPr>
              <w:pStyle w:val="Compact"/>
            </w:pPr>
            <w:r>
              <w:t xml:space="preserve">The Exodus Begun: Israel Departs After 430 Years</w:t>
            </w:r>
          </w:p>
        </w:tc>
      </w:tr>
      <w:tr>
        <w:tc>
          <w:tcPr/>
          <w:p>
            <w:pPr>
              <w:pStyle w:val="Compact"/>
            </w:pPr>
            <w:r>
              <w:t xml:space="preserve">6</w:t>
            </w:r>
          </w:p>
        </w:tc>
        <w:tc>
          <w:tcPr/>
          <w:p>
            <w:pPr>
              <w:pStyle w:val="Compact"/>
            </w:pPr>
            <w:r>
              <w:t xml:space="preserve">43–51</w:t>
            </w:r>
          </w:p>
        </w:tc>
        <w:tc>
          <w:tcPr/>
          <w:p>
            <w:pPr>
              <w:pStyle w:val="Compact"/>
            </w:pPr>
            <w:r>
              <w:t xml:space="preserve">The Table Regulated: Who May Eat the Passover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redeems Israel from judgment through substitutionary blood — and commands perpetual remembrance of it.</w:t>
      </w:r>
    </w:p>
    <w:p>
      <w:pPr>
        <w:pStyle w:val="BodyText"/>
      </w:pPr>
      <w:r>
        <w:rPr>
          <w:b/>
          <w:bCs/>
        </w:rPr>
        <w:t xml:space="preserve">Primary Claim:</w:t>
      </w:r>
      <w:r>
        <w:t xml:space="preserve"> </w:t>
      </w:r>
      <w:r>
        <w:t xml:space="preserve">God is confronting His people with the irreducible reality that their only standing before divine judgment is the blood of a substitute — and He is calling them to structure their entire life, calendar, and community memory around that fact.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Understand that you are not sheltered by your goodness, your heritage, or your effort, but by blood.</w:t>
      </w:r>
    </w:p>
    <w:p>
      <w:pPr>
        <w:pStyle w:val="BodyText"/>
      </w:pPr>
      <w:r>
        <w:t xml:space="preserve">The Passover contains no merit clause. God does not say,</w:t>
      </w:r>
      <w:r>
        <w:t xml:space="preserve"> </w:t>
      </w:r>
      <w:r>
        <w:t xml:space="preserve">“When I see your obedience, I will pass over you,”</w:t>
      </w:r>
      <w:r>
        <w:t xml:space="preserve"> </w:t>
      </w:r>
      <w:r>
        <w:t xml:space="preserve">or</w:t>
      </w:r>
      <w:r>
        <w:t xml:space="preserve"> </w:t>
      </w:r>
      <w:r>
        <w:t xml:space="preserve">“When I see how long you have been with My people.”</w:t>
      </w:r>
      <w:r>
        <w:t xml:space="preserve"> </w:t>
      </w:r>
      <w:r>
        <w:t xml:space="preserve">He says,</w:t>
      </w:r>
      <w:r>
        <w:t xml:space="preserve"> </w:t>
      </w:r>
      <w:r>
        <w:t xml:space="preserve">“When I see the blood.”</w:t>
      </w:r>
      <w:r>
        <w:t xml:space="preserve"> </w:t>
      </w:r>
      <w:r>
        <w:t xml:space="preserve">Every household under that blood was equally covered — the household of a mature elder and the household of a man who had complained against God the week before. The text does not invite the reader to assess their standing through self-examination of performance. It invites them to ask one question: is the blood applied? The New Testament answers that for every believer in Christ, the Lamb has been slaughtered and His blood does not merely mark the doorpost — it covers the believer permanently (1 Cor. 5:7). Preaching this passage means refusing to let people find assurance in anything other than the blood of Christ. They need to know — really know, not merely assent to — that their standing before the judgment of God is entirely and only blood-purchased, not merit-earned.</w:t>
      </w:r>
    </w:p>
    <w:p>
      <w:pPr>
        <w:pStyle w:val="BodyText"/>
      </w:pPr>
      <w:r>
        <w:rPr>
          <w:b/>
          <w:bCs/>
        </w:rPr>
        <w:t xml:space="preserve">2. (Affections/Worship) — Let the deliberateness of God’s provision move you to worship rather than presumption.</w:t>
      </w:r>
    </w:p>
    <w:p>
      <w:pPr>
        <w:pStyle w:val="BodyText"/>
      </w:pPr>
      <w:r>
        <w:t xml:space="preserve">The lamb is chosen on the tenth of the month and kept until the fourteenth — four days of observing the animal that will die in your place. This is not coincidental. God builds in a period of watching the substitute. The purpose is to make the death feel like what it is: a death that happened instead of yours. Christian worship should carry this weight. The Lord’s Supper is not a pleasant communal tradition — it is a memorial of a death. A lamb was killed so Israel’s firstborn could live; Christ died so you could stand before God unashamed. When worship becomes casual, it has forgotten what the blood cost. Examine whether your affections toward Christ’s atoning work carry the gravity of someone who understands what they were spared from. The response to the Passover was that the people</w:t>
      </w:r>
      <w:r>
        <w:t xml:space="preserve"> </w:t>
      </w:r>
      <w:r>
        <w:t xml:space="preserve">“bowed their heads and worshiped”</w:t>
      </w:r>
      <w:r>
        <w:t xml:space="preserve"> </w:t>
      </w:r>
      <w:r>
        <w:t xml:space="preserve">(v. 27) — not after deliverance, but when they first heard the promise. Worship belongs before the event as well as after it, because the promise of the blood is already sufficient ground for adoration.</w:t>
      </w:r>
    </w:p>
    <w:p>
      <w:pPr>
        <w:pStyle w:val="BodyText"/>
      </w:pPr>
      <w:r>
        <w:rPr>
          <w:b/>
          <w:bCs/>
        </w:rPr>
        <w:t xml:space="preserve">3. (Will/Behavior) — Build deliberate, structured, recurring memorial of the gospel into your household’s rhythm.</w:t>
      </w:r>
    </w:p>
    <w:p>
      <w:pPr>
        <w:pStyle w:val="BodyText"/>
      </w:pPr>
      <w:r>
        <w:t xml:space="preserve">God does not leave memorial to spontaneous impulse. He structures it: a specific month, a specific day, a seven-day feast, a set meal with specific elements, and — critically — a designed moment when children ask and parents answer. The intergenerational catechetical function (vv. 26–27) is not a secondary feature of the Passover — it is one of its stated purposes. The feast is designed to generate the question</w:t>
      </w:r>
      <w:r>
        <w:t xml:space="preserve"> </w:t>
      </w:r>
      <w:r>
        <w:t xml:space="preserve">“What does this mean?”</w:t>
      </w:r>
      <w:r>
        <w:t xml:space="preserve"> </w:t>
      </w:r>
      <w:r>
        <w:t xml:space="preserve">and equip the parent to answer it with the story of redemption. Households that have no recurring, deliberate structure for gospel remembrance are banking on spontaneous retrieval, which is precisely what human forgetfulness defeats. Whether through family worship, regular Lord’s Supper observance, or intentional gospel conversation with children, the pattern of Exodus 12 calls every household to structure its rhythms so that the blood of Christ is never in danger of being treated as background noise.</w:t>
      </w:r>
    </w:p>
    <w:p>
      <w:pPr>
        <w:pStyle w:val="BodyText"/>
      </w:pPr>
      <w:r>
        <w:rPr>
          <w:b/>
          <w:bCs/>
        </w:rPr>
        <w:t xml:space="preserve">4. (Mind/Belief) — Recognize that the Passover is not merely background to the gospel — it</w:t>
      </w:r>
      <w:r>
        <w:rPr>
          <w:b/>
          <w:bCs/>
        </w:rPr>
        <w:t xml:space="preserve"> </w:t>
      </w:r>
      <w:r>
        <w:rPr>
          <w:b/>
          <w:bCs/>
          <w:i/>
          <w:iCs/>
        </w:rPr>
        <w:t xml:space="preserve">is</w:t>
      </w:r>
      <w:r>
        <w:rPr>
          <w:b/>
          <w:bCs/>
        </w:rPr>
        <w:t xml:space="preserve"> </w:t>
      </w:r>
      <w:r>
        <w:rPr>
          <w:b/>
          <w:bCs/>
        </w:rPr>
        <w:t xml:space="preserve">the gospel, in type and shadow.</w:t>
      </w:r>
    </w:p>
    <w:p>
      <w:pPr>
        <w:pStyle w:val="BodyText"/>
      </w:pPr>
      <w:r>
        <w:t xml:space="preserve">One of the most significant readings this passage demands is canonical. Paul says it plainly:</w:t>
      </w:r>
      <w:r>
        <w:t xml:space="preserve"> </w:t>
      </w:r>
      <w:r>
        <w:t xml:space="preserve">“Christ our Passover lamb has been sacrificed”</w:t>
      </w:r>
      <w:r>
        <w:t xml:space="preserve"> </w:t>
      </w:r>
      <w:r>
        <w:t xml:space="preserve">(1 Cor. 5:7). John’s Gospel is careful to record that Jesus’ bones were not broken (19:36), fulfilling the specific regulation of Exodus 12:46. Jesus institutes the Lord’s Supper within the Passover meal and identifies the cup as</w:t>
      </w:r>
      <w:r>
        <w:t xml:space="preserve"> </w:t>
      </w:r>
      <w:r>
        <w:t xml:space="preserve">“the new covenant in my blood”</w:t>
      </w:r>
      <w:r>
        <w:t xml:space="preserve"> </w:t>
      </w:r>
      <w:r>
        <w:t xml:space="preserve">(Luke 22:20). Exodus 12 is not pre-gospel material that gets replaced by something better. It is the gospel — the same gospel, in its earlier canonical form, with the Lamb not yet named but already required. Understanding this transforms how a believer reads the Old Testament: it is not a different religion pointing uncertainly toward Christ, but the same redemptive reality announced and anticipated in blood and bread and bitter herbs before the Lamb arrived in Bethlehem.</w:t>
      </w:r>
    </w:p>
    <w:p>
      <w:pPr>
        <w:pStyle w:val="BodyText"/>
      </w:pPr>
      <w:r>
        <w:rPr>
          <w:b/>
          <w:bCs/>
        </w:rPr>
        <w:t xml:space="preserve">5. (Will/Behavior) — Submit to the means of grace God has ordained rather than devising your own approach to Him.</w:t>
      </w:r>
    </w:p>
    <w:p>
      <w:pPr>
        <w:pStyle w:val="BodyText"/>
      </w:pPr>
      <w:r>
        <w:t xml:space="preserve">The regulations of Exodus 12 are strikingly precise. The lamb must be without blemish. The blood must go on the doorposts and the lintel — not somewhere else. The meal must be eaten in a specific posture, with specific accompaniments, in a single night. The uncircumcised may not eat. The bones may not be broken. No detail is left to individual preference. The people’s response —</w:t>
      </w:r>
      <w:r>
        <w:t xml:space="preserve"> </w:t>
      </w:r>
      <w:r>
        <w:t xml:space="preserve">“just as the LORD had commanded”</w:t>
      </w:r>
      <w:r>
        <w:t xml:space="preserve"> </w:t>
      </w:r>
      <w:r>
        <w:t xml:space="preserve">(vv. 28, 50) — is presented as the model response, twice. The chapter warns against the assumption that sincerity or general religious effort substitutes for submission to God’s specific terms. The New Testament equivalent is not a list of precise ritual regulations, but it does include this: there is a way God has appointed to approach Him (through Christ alone), a meal He has appointed to mark covenant belonging (the Lord’s Supper), and an obedience He calls the community to (the local church, baptism, the Word). These are not negotiable preferences. The Passover’s precision teaches the posture: come on God’s terms, in God’s way, trusting God’s provision.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12 is one of the most theologically dense chapters in the Old Testament precisely because it is not primarily theological argument but theological event — God acts, and His action teaches. What the chapter teaches is this: divine judgment is real, comprehensive, and no respecter of persons; the only shelter from that judgment is a substitutionary death accepted by faith and applied in obedience; and the God who judges is also the God who provides the means of escape. The lamb is not Israel’s idea — it is God’s provision from the beginning (</w:t>
      </w:r>
      <w:r>
        <w:t xml:space="preserve">“God will provide for Himself the lamb,”</w:t>
      </w:r>
      <w:r>
        <w:t xml:space="preserve"> </w:t>
      </w:r>
      <w:r>
        <w:t xml:space="preserve">Gen. 22:8). The blood is not a human strategy — it is the sign God Himself designates as the condition of His own passing over. This chapter thus establishes the grammar of all biblical soteriology: judgment deserved, substitute provided, blood applied, death averted. Everything the New Testament says about the atonement of Christ is saying the same thing in its fully-revealed form — Exodus 12 provides the grammatical structure that the gospel fills with its final and ultimate content.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12 is foundational to the Reformed doctrine of penal substitutionary atonement precisely because it is not a theological treatise but a redeemed people’s founding event. The mechanism is irreducibly substitutionary: the lamb dies, its blood is applied, the firstborn lives — not because the firstborn deserved to live, not because they had earned the right to escape, but because a spotless substitute died in their place and its blood was applied by faith and obedience. This is the logic of the cross. Reformed theology insists against both the moral influence theory and various governmental theories that Christ’s death is not merely exemplary or abstractly penal — it is substitutionary: He died as our Passover, in our place, under the wrath we deserved, so that when the judgment passes over us, it does so because the blood has already been shed. The Passover also establishes what Reformed covenant theology calls the unity of the covenant of grace: there is one way of salvation across the whole canon — by the blood of a spotless substitute provided by God and received through faith — and Exodus 12 is its first full-scale dramatic enactment. The</w:t>
      </w:r>
      <w:r>
        <w:t xml:space="preserve"> </w:t>
      </w:r>
      <w:r>
        <w:t xml:space="preserve">“mixed multitude”</w:t>
      </w:r>
      <w:r>
        <w:t xml:space="preserve"> </w:t>
      </w:r>
      <w:r>
        <w:t xml:space="preserve">who submitted to circumcision and joined the feast signals that this covenant has always been open to all who trust and submit, anticipating the Gentile inclusion that the New Covenant will fully realize.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only thing between any human being and the judgment of God is the blood of a substitute. Israel did not survive that night in Egypt because they were better than the Egyptians, or older in faith, or more worthy of rescue — they survived because a lamb died in their place and its blood was on the door. Christ is that Lamb, finally and fully. His blood is not applied to a wooden doorpost — it is applied to everyone who trusts in Him. Stop looking for additional grounds for your standing before God. The blood is sufficient. Structure your life, your household, and your worship around that one irreplaceable fact.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Passover as mere historical background rather than theological foreground.</w:t>
      </w:r>
      <w:r>
        <w:t xml:space="preserve"> </w:t>
      </w:r>
      <w:r>
        <w:t xml:space="preserve">The most common failure in preaching Exodus 12 is to use the passage as interesting ancient context for the Last Supper or the atonement, rather than treating it as a complete theological event in its own right. The Passover is not background — it is the pattern. Preach it as the gospel in its Old Testament form, not as the warm-up act for something more theologically serious.</w:t>
      </w:r>
    </w:p>
    <w:p>
      <w:pPr>
        <w:numPr>
          <w:ilvl w:val="0"/>
          <w:numId w:val="1002"/>
        </w:numPr>
      </w:pPr>
      <w:r>
        <w:rPr>
          <w:b/>
          <w:bCs/>
        </w:rPr>
        <w:t xml:space="preserve">Softening the judgment to make the passage more palatable.</w:t>
      </w:r>
      <w:r>
        <w:t xml:space="preserve"> </w:t>
      </w:r>
      <w:r>
        <w:t xml:space="preserve">Verses 29–30 describe the death of every firstborn in Egypt — Pharaoh’s son, the prisoner’s son, the firstborn of livestock. The text does not soften this. It is total, sovereign, and terrible. Preachers who rush past the judgment to get to the deliverance have robbed the deliverance of its weight. The mercy only lands with full force when the judgment is preached with full force. The reader needs to feel the darkness of that midnight before they can feel the shelter of the blood.</w:t>
      </w:r>
    </w:p>
    <w:p>
      <w:pPr>
        <w:numPr>
          <w:ilvl w:val="0"/>
          <w:numId w:val="1002"/>
        </w:numPr>
      </w:pPr>
      <w:r>
        <w:rPr>
          <w:b/>
          <w:bCs/>
        </w:rPr>
        <w:t xml:space="preserve">Reducing the passage to a lesson about obedience without grounding it in substitutionary grace.</w:t>
      </w:r>
      <w:r>
        <w:t xml:space="preserve"> </w:t>
      </w:r>
      <w:r>
        <w:t xml:space="preserve">The chapter clearly values obedience —</w:t>
      </w:r>
      <w:r>
        <w:t xml:space="preserve"> </w:t>
      </w:r>
      <w:r>
        <w:t xml:space="preserve">“just as the LORD had commanded”</w:t>
      </w:r>
      <w:r>
        <w:t xml:space="preserve"> </w:t>
      </w:r>
      <w:r>
        <w:t xml:space="preserve">frames both the beginning and the end. But obedience here is the</w:t>
      </w:r>
      <w:r>
        <w:t xml:space="preserve"> </w:t>
      </w:r>
      <w:r>
        <w:rPr>
          <w:i/>
          <w:iCs/>
        </w:rPr>
        <w:t xml:space="preserve">response to</w:t>
      </w:r>
      <w:r>
        <w:t xml:space="preserve"> </w:t>
      </w:r>
      <w:r>
        <w:t xml:space="preserve">the blood provision, not the grounds</w:t>
      </w:r>
      <w:r>
        <w:t xml:space="preserve"> </w:t>
      </w:r>
      <w:r>
        <w:rPr>
          <w:i/>
          <w:iCs/>
        </w:rPr>
        <w:t xml:space="preserve">for</w:t>
      </w:r>
      <w:r>
        <w:t xml:space="preserve"> </w:t>
      </w:r>
      <w:r>
        <w:t xml:space="preserve">deliverance. A moralistic reading produces:</w:t>
      </w:r>
      <w:r>
        <w:t xml:space="preserve"> </w:t>
      </w:r>
      <w:r>
        <w:t xml:space="preserve">“Do what God says and you will be protected.”</w:t>
      </w:r>
      <w:r>
        <w:t xml:space="preserve"> </w:t>
      </w:r>
      <w:r>
        <w:t xml:space="preserve">The gospel reading produces:</w:t>
      </w:r>
      <w:r>
        <w:t xml:space="preserve"> </w:t>
      </w:r>
      <w:r>
        <w:t xml:space="preserve">“God has provided a substitute — trust it, apply it, and obey.”</w:t>
      </w:r>
      <w:r>
        <w:t xml:space="preserve"> </w:t>
      </w:r>
      <w:r>
        <w:t xml:space="preserve">These are not the same sermon. The first is Exodus 12 without the blood. The second is what the text actually says.</w:t>
      </w:r>
    </w:p>
    <w:p>
      <w:pPr>
        <w:numPr>
          <w:ilvl w:val="0"/>
          <w:numId w:val="1002"/>
        </w:numPr>
      </w:pPr>
      <w:r>
        <w:rPr>
          <w:b/>
          <w:bCs/>
        </w:rPr>
        <w:t xml:space="preserve">Missing the intergenerational catechetical structure as a preachable element.</w:t>
      </w:r>
      <w:r>
        <w:t xml:space="preserve"> </w:t>
      </w:r>
      <w:r>
        <w:t xml:space="preserve">Verses 26–27 build into the feast a designed moment of parental gospel proclamation: the children will ask, the parents will answer, and the story of the blood will travel across generations. This is not a minor administrative detail — it is a theology of how covenant memory is preserved. Preaching this passage without addressing how households and communities are responsible to structure ongoing, deliberate gospel remembrance is to truncate the passage’s own stated concern.</w:t>
      </w:r>
    </w:p>
    <w:p>
      <w:pPr>
        <w:numPr>
          <w:ilvl w:val="0"/>
          <w:numId w:val="1002"/>
        </w:numPr>
      </w:pPr>
      <w:r>
        <w:rPr>
          <w:b/>
          <w:bCs/>
        </w:rPr>
        <w:t xml:space="preserve">Reading the Passover regulations as merely ceremonial law with no applicational force.</w:t>
      </w:r>
      <w:r>
        <w:t xml:space="preserve"> </w:t>
      </w:r>
      <w:r>
        <w:t xml:space="preserve">The</w:t>
      </w:r>
      <w:r>
        <w:t xml:space="preserve"> </w:t>
      </w:r>
      <w:r>
        <w:t xml:space="preserve">“without blemish”</w:t>
      </w:r>
      <w:r>
        <w:t xml:space="preserve"> </w:t>
      </w:r>
      <w:r>
        <w:t xml:space="preserve">requirement, the prohibition on breaking bones, the restrictions on who may eat — these are not arbitrary ritual details. Each carries theological weight, and the New Testament’s explicit fulfillment of specific details (John 19:36 on the unbroken bones; 1 Cor. 5:7 on the sacrificed Lamb) demonstrates that the text intends its regulations to be read typologically. Preachers who wave past the regulations as</w:t>
      </w:r>
      <w:r>
        <w:t xml:space="preserve"> </w:t>
      </w:r>
      <w:r>
        <w:t xml:space="preserve">“Jewish law”</w:t>
      </w:r>
      <w:r>
        <w:t xml:space="preserve"> </w:t>
      </w:r>
      <w:r>
        <w:t xml:space="preserve">forfeit one of the richest canonical payoffs in the Old Testament.</w:t>
      </w:r>
    </w:p>
    <w:p>
      <w:pPr>
        <w:numPr>
          <w:ilvl w:val="0"/>
          <w:numId w:val="1002"/>
        </w:numPr>
      </w:pPr>
      <w:r>
        <w:rPr>
          <w:b/>
          <w:bCs/>
        </w:rPr>
        <w:t xml:space="preserve">Failing to distinguish what the Passover establishes about covenant membership (vv. 43–51).</w:t>
      </w:r>
      <w:r>
        <w:t xml:space="preserve"> </w:t>
      </w:r>
      <w:r>
        <w:t xml:space="preserve">The closing regulations reveal that Passover participation is not ethnic but covenantal — the foreigner who submits to circumcision eats as a native. Preaching that ignores this risks leaving the impression that the Old Testament is an ethnic religion that the New Testament replaces with a universal one. The text itself corrects this: the covenant has always been defined by faith and submission, not bloodline. Naming this prevents both a supersessionist dismissal of Israel and a nationalist misreading of the Passover.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2026-07-14T21:01:23Z</dcterms:created>
  <dcterms:modified xsi:type="dcterms:W3CDTF">2026-07-14T21:01:23Z</dcterms:modified>
</cp:coreProperties>
</file>

<file path=docProps/custom.xml><?xml version="1.0" encoding="utf-8"?>
<Properties xmlns="http://schemas.openxmlformats.org/officeDocument/2006/custom-properties" xmlns:vt="http://schemas.openxmlformats.org/officeDocument/2006/docPropsVTypes"/>
</file>